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868B" w14:textId="06FC98CE" w:rsidR="00895B42" w:rsidRDefault="00895B42" w:rsidP="00895B42">
      <w:pPr>
        <w:pStyle w:val="Standard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  <w:r w:rsidRPr="00895B42">
        <w:rPr>
          <w:rFonts w:ascii="Segoe UI" w:hAnsi="Segoe UI" w:cs="Segoe UI"/>
          <w:b/>
          <w:bCs/>
          <w:color w:val="212529"/>
          <w:sz w:val="28"/>
          <w:szCs w:val="28"/>
        </w:rPr>
        <w:t>Kr</w:t>
      </w:r>
      <w:r w:rsidR="00C16EF4">
        <w:rPr>
          <w:rFonts w:ascii="Segoe UI" w:hAnsi="Segoe UI" w:cs="Segoe UI"/>
          <w:b/>
          <w:bCs/>
          <w:color w:val="212529"/>
          <w:sz w:val="28"/>
          <w:szCs w:val="28"/>
        </w:rPr>
        <w:t xml:space="preserve">iteriji i elementi vrednovanja </w:t>
      </w:r>
    </w:p>
    <w:p w14:paraId="237EBDBA" w14:textId="572EB2BE" w:rsidR="00C16EF4" w:rsidRPr="00895B42" w:rsidRDefault="00C16EF4" w:rsidP="00895B42">
      <w:pPr>
        <w:pStyle w:val="Standard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  <w:r>
        <w:rPr>
          <w:rFonts w:ascii="Segoe UI" w:hAnsi="Segoe UI" w:cs="Segoe UI"/>
          <w:b/>
          <w:bCs/>
          <w:color w:val="212529"/>
          <w:sz w:val="28"/>
          <w:szCs w:val="28"/>
        </w:rPr>
        <w:t>Informatika</w:t>
      </w:r>
      <w:bookmarkStart w:id="0" w:name="_GoBack"/>
      <w:bookmarkEnd w:id="0"/>
    </w:p>
    <w:p w14:paraId="7688D4B3" w14:textId="26099ADB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Pri vrednovanju naučenoga predlažu se sljedeći elementi vrednovanja:</w:t>
      </w:r>
    </w:p>
    <w:p w14:paraId="7A54BE20" w14:textId="7D73ADCE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color w:val="EF4540"/>
          <w:sz w:val="23"/>
          <w:szCs w:val="23"/>
        </w:rPr>
        <w:t>● usvojenost znanja</w:t>
      </w:r>
    </w:p>
    <w:p w14:paraId="200ECF6F" w14:textId="59DFBD35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color w:val="EF4540"/>
          <w:sz w:val="23"/>
          <w:szCs w:val="23"/>
        </w:rPr>
        <w:t>● rješavanje problema</w:t>
      </w:r>
    </w:p>
    <w:p w14:paraId="733887E6" w14:textId="77777777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color w:val="EF4540"/>
          <w:sz w:val="23"/>
          <w:szCs w:val="23"/>
        </w:rPr>
        <w:t>● digitalni sadržaji i suradnja.</w:t>
      </w:r>
    </w:p>
    <w:p w14:paraId="5AC273B2" w14:textId="77777777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Element </w:t>
      </w:r>
      <w:r>
        <w:rPr>
          <w:rFonts w:ascii="Segoe UI" w:hAnsi="Segoe UI" w:cs="Segoe UI"/>
          <w:b/>
          <w:bCs/>
          <w:i/>
          <w:iCs/>
          <w:color w:val="EF4540"/>
          <w:sz w:val="23"/>
          <w:szCs w:val="23"/>
        </w:rPr>
        <w:t>„usvojenost znanja“</w:t>
      </w:r>
      <w:r>
        <w:rPr>
          <w:rFonts w:ascii="Segoe UI" w:hAnsi="Segoe UI" w:cs="Segoe UI"/>
          <w:color w:val="212529"/>
          <w:sz w:val="23"/>
          <w:szCs w:val="23"/>
        </w:rPr>
        <w:t> uključuje ocjene za činjenično znanje, razumijevanje koncepata, analiziranje, opisivanje, objašnjavanje, poznavanje pravila.</w:t>
      </w:r>
    </w:p>
    <w:p w14:paraId="70DD584A" w14:textId="77777777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Element </w:t>
      </w:r>
      <w:r>
        <w:rPr>
          <w:rFonts w:ascii="Segoe UI" w:hAnsi="Segoe UI" w:cs="Segoe UI"/>
          <w:b/>
          <w:bCs/>
          <w:i/>
          <w:iCs/>
          <w:color w:val="EF4540"/>
          <w:sz w:val="23"/>
          <w:szCs w:val="23"/>
        </w:rPr>
        <w:t>„rješavanje problema“</w:t>
      </w:r>
      <w:r>
        <w:rPr>
          <w:rFonts w:ascii="Segoe UI" w:hAnsi="Segoe UI" w:cs="Segoe UI"/>
          <w:color w:val="212529"/>
          <w:sz w:val="23"/>
          <w:szCs w:val="23"/>
        </w:rPr>
        <w:t> uključuje ocjene za analiziranje i modeliranje problema, korake rješavanja, pisanje algoritama, provjeravanje ispravnosti algoritama, strategije pretraživanja i prikupljanja, istraživanje, konstrukciju logičkoga sklopa, samostalnost u rješavanju problema.</w:t>
      </w:r>
    </w:p>
    <w:p w14:paraId="76910CE9" w14:textId="5060A0FB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Element</w:t>
      </w:r>
      <w:r>
        <w:rPr>
          <w:rFonts w:ascii="Segoe UI" w:hAnsi="Segoe UI" w:cs="Segoe UI"/>
          <w:b/>
          <w:bCs/>
          <w:i/>
          <w:iCs/>
          <w:color w:val="EF4540"/>
          <w:sz w:val="23"/>
          <w:szCs w:val="23"/>
        </w:rPr>
        <w:t> „digitalni sadržaji i suradnja”</w:t>
      </w:r>
      <w:r>
        <w:rPr>
          <w:rFonts w:ascii="Segoe UI" w:hAnsi="Segoe UI" w:cs="Segoe UI"/>
          <w:color w:val="212529"/>
          <w:sz w:val="23"/>
          <w:szCs w:val="23"/>
        </w:rPr>
        <w:t> uključuje ocjene za odabir primjerenih programa, vještinu uporabe programa, komuniciranje u timu, suradnju na projektu, argumentiranje, predstavljanje svojih radova, odgovornost, samostalnost i promišljenost pri uporabi tehnologije te kvalitetu digitalnoga uratka.</w:t>
      </w:r>
    </w:p>
    <w:p w14:paraId="260C8F62" w14:textId="77777777" w:rsidR="000F575A" w:rsidRDefault="000F575A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4BCBF92E" w14:textId="6B2341EF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42A56110" w14:textId="5D898ABD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009C4C08" w14:textId="071D7A72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10EF08FC" w14:textId="3D3878E9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3A835E2C" w14:textId="5CC07FC5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5FF294D6" w14:textId="7844C1A3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00C579A3" w14:textId="32D81997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275A7240" w14:textId="53DDCFA9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7F7476BF" w14:textId="31FC7892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3DAA4431" w14:textId="4806ECC2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4CB5A9F7" w14:textId="70463A40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51359B11" w14:textId="39514C71" w:rsidR="00895B42" w:rsidRPr="00895B42" w:rsidRDefault="00895B42" w:rsidP="00134F1C">
      <w:pPr>
        <w:pStyle w:val="StandardWeb"/>
        <w:numPr>
          <w:ilvl w:val="0"/>
          <w:numId w:val="47"/>
        </w:numPr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  <w:sz w:val="23"/>
          <w:szCs w:val="23"/>
        </w:rPr>
      </w:pPr>
      <w:r w:rsidRPr="00895B42">
        <w:rPr>
          <w:rFonts w:ascii="Segoe UI" w:hAnsi="Segoe UI" w:cs="Segoe UI"/>
          <w:b/>
          <w:bCs/>
          <w:color w:val="212529"/>
          <w:sz w:val="23"/>
          <w:szCs w:val="23"/>
        </w:rPr>
        <w:lastRenderedPageBreak/>
        <w:t>Usvojenost znanja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69"/>
        <w:gridCol w:w="7587"/>
      </w:tblGrid>
      <w:tr w:rsidR="00895B42" w:rsidRPr="00895B42" w14:paraId="38A2DB85" w14:textId="77777777" w:rsidTr="00895B42">
        <w:trPr>
          <w:tblHeader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37DD7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Ocjena</w:t>
            </w:r>
          </w:p>
        </w:tc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F4A50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Kriterij ocjenjivanja (opisno)</w:t>
            </w:r>
          </w:p>
        </w:tc>
      </w:tr>
      <w:tr w:rsidR="00895B42" w:rsidRPr="00895B42" w14:paraId="1A3773FC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C4BEA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Odličan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93E9A" w14:textId="77777777" w:rsidR="00895B42" w:rsidRPr="00895B42" w:rsidRDefault="00895B42" w:rsidP="00895B42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Znanje na razini analize, sinteze, evaluacije.</w:t>
            </w:r>
          </w:p>
          <w:p w14:paraId="2E3377AF" w14:textId="77777777" w:rsidR="00895B42" w:rsidRPr="00895B42" w:rsidRDefault="00895B42" w:rsidP="00134F1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Brzo, lako i savjesno ostvaruje radne zadatke, nove spoznaje primjenjuje i povezuje s prije stečenim znanjem</w:t>
            </w:r>
          </w:p>
          <w:p w14:paraId="078330F8" w14:textId="77777777" w:rsidR="00895B42" w:rsidRPr="00895B42" w:rsidRDefault="00895B42" w:rsidP="00134F1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Uspješno primjenjuje stečeno znanje na nove, složenije primjere, uočava i ističe korelaciju naučenih sadržaja s ostalim sličnim sadržajima, navodi vlastite primjere.</w:t>
            </w:r>
          </w:p>
          <w:p w14:paraId="4EFA5D01" w14:textId="77777777" w:rsidR="00895B42" w:rsidRPr="00895B42" w:rsidRDefault="00895B42" w:rsidP="00134F1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Služi se dodatnim izvorima znanja i informacijama iz različitih medija. U gotovo svim slučajevima pokazuje razumijevanje i primjenu pojmova te donosi ispravne zaključke.</w:t>
            </w:r>
          </w:p>
          <w:p w14:paraId="75CED111" w14:textId="77777777" w:rsidR="00895B42" w:rsidRPr="00895B42" w:rsidRDefault="00895B42" w:rsidP="00134F1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90 – 100%</w:t>
            </w:r>
          </w:p>
        </w:tc>
      </w:tr>
      <w:tr w:rsidR="00895B42" w:rsidRPr="00895B42" w14:paraId="37210EED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9594C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Vrlo dobar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38EC7" w14:textId="77777777" w:rsidR="00895B42" w:rsidRPr="00895B42" w:rsidRDefault="00895B42" w:rsidP="00895B42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Znanje na razini primjene.</w:t>
            </w:r>
          </w:p>
          <w:p w14:paraId="47D93DC9" w14:textId="77777777" w:rsidR="00895B42" w:rsidRPr="00895B42" w:rsidRDefault="00895B42" w:rsidP="00134F1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Razumije gradivo, služi se usvojenim znanjem, navodi vlastite primjere.</w:t>
            </w:r>
          </w:p>
          <w:p w14:paraId="74242B85" w14:textId="77777777" w:rsidR="00895B42" w:rsidRPr="00895B42" w:rsidRDefault="00895B42" w:rsidP="00134F1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Samostalno rješava i složenije zadatke.</w:t>
            </w:r>
          </w:p>
          <w:p w14:paraId="2AA695EA" w14:textId="77777777" w:rsidR="00895B42" w:rsidRPr="00895B42" w:rsidRDefault="00895B42" w:rsidP="00134F1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Smišljeno i sadržajno odgovara na pitanja. Može analizirati i povezivati gradivo.</w:t>
            </w:r>
          </w:p>
          <w:p w14:paraId="53D1EA94" w14:textId="77777777" w:rsidR="00895B42" w:rsidRPr="00895B42" w:rsidRDefault="00895B42" w:rsidP="00134F1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80 – 89%</w:t>
            </w:r>
          </w:p>
        </w:tc>
      </w:tr>
      <w:tr w:rsidR="00895B42" w:rsidRPr="00895B42" w14:paraId="5793528D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667CD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Dobar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8E4CF" w14:textId="77777777" w:rsidR="00895B42" w:rsidRPr="00895B42" w:rsidRDefault="00895B42" w:rsidP="00895B42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Znanje na razini razumijevanja.</w:t>
            </w:r>
          </w:p>
          <w:p w14:paraId="523EC206" w14:textId="77777777" w:rsidR="00895B42" w:rsidRPr="00895B42" w:rsidRDefault="00895B42" w:rsidP="00134F1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Reproducira temeljne pojmove, razumije gradivo, ali ga ne zna primijeniti, niti obrazložiti vlastitim primjerima.</w:t>
            </w:r>
          </w:p>
          <w:p w14:paraId="4CA63E70" w14:textId="77777777" w:rsidR="00895B42" w:rsidRPr="00895B42" w:rsidRDefault="00895B42" w:rsidP="00134F1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 većini slučajeva ne donosi ispravne zaključke.</w:t>
            </w:r>
          </w:p>
          <w:p w14:paraId="20B63BDC" w14:textId="77777777" w:rsidR="00895B42" w:rsidRPr="00895B42" w:rsidRDefault="00895B42" w:rsidP="00134F1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Uz pomoć nastavnika rješava jednostavne zadatke, nije dovoljno samostalan.</w:t>
            </w:r>
          </w:p>
          <w:p w14:paraId="0A23335A" w14:textId="77777777" w:rsidR="00895B42" w:rsidRPr="00895B42" w:rsidRDefault="00895B42" w:rsidP="00134F1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Snalazi se u osnovnim pojmovima, ali s obzirom na nedovoljan ili neispravan rad ne može analizirati i povezati gradivo.</w:t>
            </w:r>
          </w:p>
          <w:p w14:paraId="0375C1AA" w14:textId="77777777" w:rsidR="00895B42" w:rsidRPr="00895B42" w:rsidRDefault="00895B42" w:rsidP="00134F1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60 – 79%</w:t>
            </w:r>
          </w:p>
        </w:tc>
      </w:tr>
      <w:tr w:rsidR="00895B42" w:rsidRPr="00895B42" w14:paraId="305AC12B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2C31D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lastRenderedPageBreak/>
              <w:t>Dovoljan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40BD9" w14:textId="77777777" w:rsidR="00895B42" w:rsidRPr="00895B42" w:rsidRDefault="00895B42" w:rsidP="00895B42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Znanje na razini reprodukcije.</w:t>
            </w:r>
          </w:p>
          <w:p w14:paraId="0B975548" w14:textId="77777777" w:rsidR="00895B42" w:rsidRPr="00895B42" w:rsidRDefault="00895B42" w:rsidP="00134F1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Prepoznaje temeljne pojmove, odgovara po sjećanju, nejasno iznosi gradivo, bez dubljeg razumijevanja, do rezultata dolazi uz pomoć nastavnika.</w:t>
            </w:r>
          </w:p>
          <w:p w14:paraId="47AF6FA4" w14:textId="77777777" w:rsidR="00895B42" w:rsidRPr="00895B42" w:rsidRDefault="00895B42" w:rsidP="00134F1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50 – 59%</w:t>
            </w:r>
          </w:p>
        </w:tc>
      </w:tr>
      <w:tr w:rsidR="00895B42" w:rsidRPr="00895B42" w14:paraId="0E674935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15940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Nedovoljan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9C2CB" w14:textId="77777777" w:rsidR="00895B42" w:rsidRPr="00895B42" w:rsidRDefault="00895B42" w:rsidP="00895B42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Izostanak temeljnih znanja.</w:t>
            </w:r>
          </w:p>
          <w:p w14:paraId="6B72B7B7" w14:textId="77777777" w:rsidR="00895B42" w:rsidRPr="00895B42" w:rsidRDefault="00895B42" w:rsidP="00134F1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Učenik nije usvojio minimum osnovnih i važnih pojmova.</w:t>
            </w:r>
          </w:p>
          <w:p w14:paraId="2AFEDCBF" w14:textId="77777777" w:rsidR="00895B42" w:rsidRPr="00895B42" w:rsidRDefault="00895B42" w:rsidP="00134F1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0 – 49%</w:t>
            </w:r>
          </w:p>
        </w:tc>
      </w:tr>
    </w:tbl>
    <w:p w14:paraId="6D9F2505" w14:textId="30AC40CE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5B3EF3BA" w14:textId="19191F0F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73C938EB" w14:textId="0999919A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637368BB" w14:textId="5D85B914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6E1A2ABA" w14:textId="7CE60213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1EEA914F" w14:textId="27D547A9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3C2AEE92" w14:textId="560F1827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1C1E6417" w14:textId="54F28A9D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77BC9514" w14:textId="18B01DA0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376D3241" w14:textId="732DCB1E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3ED62021" w14:textId="4254949C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41D5EDE1" w14:textId="471395F9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556D4500" w14:textId="5BFCFF25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13D508BC" w14:textId="6EBCC30D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5A93B0BF" w14:textId="7EDF87D0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606A2BC0" w14:textId="641D41E2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517572D6" w14:textId="77777777" w:rsidR="00895B42" w:rsidRDefault="00895B42" w:rsidP="00895B4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14:paraId="766793E4" w14:textId="4453AD1B" w:rsidR="0041794F" w:rsidRPr="00895B42" w:rsidRDefault="00895B42" w:rsidP="00134F1C">
      <w:pPr>
        <w:pStyle w:val="Odlomakpopisa"/>
        <w:numPr>
          <w:ilvl w:val="0"/>
          <w:numId w:val="47"/>
        </w:numPr>
        <w:rPr>
          <w:b/>
          <w:bCs/>
        </w:rPr>
      </w:pPr>
      <w:r w:rsidRPr="00895B42">
        <w:rPr>
          <w:b/>
          <w:bCs/>
        </w:rPr>
        <w:t>Rješavanje problema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26"/>
        <w:gridCol w:w="7630"/>
      </w:tblGrid>
      <w:tr w:rsidR="00895B42" w:rsidRPr="00895B42" w14:paraId="4F18DA30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DDE47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Odličan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539F6" w14:textId="77777777" w:rsidR="00895B42" w:rsidRPr="00895B42" w:rsidRDefault="00895B42" w:rsidP="00134F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Kreativno primjenjuje usvojene vještine u novim situacijama.</w:t>
            </w:r>
          </w:p>
          <w:p w14:paraId="1E2D68FD" w14:textId="77777777" w:rsidR="00895B42" w:rsidRPr="00895B42" w:rsidRDefault="00895B42" w:rsidP="00134F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85 – 100%</w:t>
            </w:r>
          </w:p>
          <w:p w14:paraId="4F21647C" w14:textId="77777777" w:rsidR="00895B42" w:rsidRPr="00895B42" w:rsidRDefault="00895B42" w:rsidP="00134F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 rješavanju problema programiranjem boduje se samo funkcionalan kod  u kojemu je točno riješeno 85 – 100% zadanih zadataka uz pomoć računala, poštujući metodu rješavanja zadanu u uputi.</w:t>
            </w:r>
          </w:p>
        </w:tc>
      </w:tr>
      <w:tr w:rsidR="00895B42" w:rsidRPr="00895B42" w14:paraId="53EC5D0F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747EC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Vrlo dobar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ECC1B" w14:textId="77777777" w:rsidR="00895B42" w:rsidRPr="00895B42" w:rsidRDefault="00895B42" w:rsidP="00134F1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Primjenjuje stečeno znanje, samostalno uočava pogreške i ispravlja ih.</w:t>
            </w:r>
          </w:p>
          <w:p w14:paraId="00B8D119" w14:textId="77777777" w:rsidR="00895B42" w:rsidRPr="00895B42" w:rsidRDefault="00895B42" w:rsidP="00134F1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70  – 84%</w:t>
            </w:r>
          </w:p>
          <w:p w14:paraId="4D3A62C7" w14:textId="77777777" w:rsidR="00895B42" w:rsidRPr="00895B42" w:rsidRDefault="00895B42" w:rsidP="00134F1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 rješavanju problema programiranjem boduje se samo funkcionalan kod  u kojemu je točno riješeno 70 – 85% zadanih zadataka uz pomoć računala, poštujući metodu rješavanja zadanu u uputi.</w:t>
            </w:r>
          </w:p>
        </w:tc>
      </w:tr>
      <w:tr w:rsidR="00895B42" w:rsidRPr="00895B42" w14:paraId="60156B2D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AFBEA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Dobar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F1652" w14:textId="77777777" w:rsidR="00895B42" w:rsidRPr="00895B42" w:rsidRDefault="00895B42" w:rsidP="00134F1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Radi uz povremenu pomoć, pogreške uočava i ispravlja ih uz pomoć nastavnika.</w:t>
            </w:r>
          </w:p>
          <w:p w14:paraId="4FE85195" w14:textId="77777777" w:rsidR="00895B42" w:rsidRPr="00895B42" w:rsidRDefault="00895B42" w:rsidP="00134F1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55  – 69%</w:t>
            </w:r>
          </w:p>
          <w:p w14:paraId="1E8E9C78" w14:textId="77777777" w:rsidR="00895B42" w:rsidRPr="00895B42" w:rsidRDefault="00895B42" w:rsidP="00134F1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 rješavanju problema programiranjem boduje se samo funkcionalan kod u kojemu je točno riješeno 55 – 69% zadanih zadataka uz pomoć računala poštujući metodu rješavanja zadanu u uputi.</w:t>
            </w:r>
          </w:p>
        </w:tc>
      </w:tr>
      <w:tr w:rsidR="00895B42" w:rsidRPr="00895B42" w14:paraId="46238D6D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D9768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Dovoljan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6467F" w14:textId="77777777" w:rsidR="00895B42" w:rsidRPr="00895B42" w:rsidRDefault="00895B42" w:rsidP="00134F1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Radi uz pomoć i ne uočava pogreške samostalno.</w:t>
            </w:r>
          </w:p>
          <w:p w14:paraId="12AB6E8D" w14:textId="77777777" w:rsidR="00895B42" w:rsidRPr="00895B42" w:rsidRDefault="00895B42" w:rsidP="00134F1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40  – 54%</w:t>
            </w:r>
          </w:p>
          <w:p w14:paraId="55BCC6CD" w14:textId="77777777" w:rsidR="00895B42" w:rsidRPr="00895B42" w:rsidRDefault="00895B42" w:rsidP="00134F1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 rješavanju problema programiranjem boduje se samo funkcionalan kod  u kojemu je točno riješeno 40 – 54 % zadanih zadataka uz pomoć računala.</w:t>
            </w:r>
          </w:p>
        </w:tc>
      </w:tr>
      <w:tr w:rsidR="00895B42" w:rsidRPr="00895B42" w14:paraId="6A4AEB16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5581A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b/>
                <w:bCs/>
                <w:color w:val="212529"/>
                <w:sz w:val="23"/>
                <w:szCs w:val="23"/>
                <w:lang w:eastAsia="hr-HR"/>
              </w:rPr>
              <w:t>Nedovoljan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1BE8D" w14:textId="77777777" w:rsidR="00895B42" w:rsidRPr="00895B42" w:rsidRDefault="00895B42" w:rsidP="00134F1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Učenik izražava nezainteresiranost za rad s računalom, izbjegava uporabu računala.</w:t>
            </w:r>
          </w:p>
          <w:p w14:paraId="343810A6" w14:textId="77777777" w:rsidR="00895B42" w:rsidRPr="00895B42" w:rsidRDefault="00895B42" w:rsidP="00134F1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lastRenderedPageBreak/>
              <w:t>Niti uz pomoć ne uspijeva riješiti zadatke, ne uočava pogreške niti ih uspijeva ispraviti.</w:t>
            </w:r>
          </w:p>
          <w:p w14:paraId="65E37995" w14:textId="77777777" w:rsidR="00895B42" w:rsidRPr="00895B42" w:rsidRDefault="00895B42" w:rsidP="00134F1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Okvirni postotak točnih rješenja na usmenoj ili pisanoj provjeri: 0  – 39%</w:t>
            </w:r>
          </w:p>
          <w:p w14:paraId="62BC3BB1" w14:textId="77777777" w:rsidR="00895B42" w:rsidRPr="00895B42" w:rsidRDefault="00895B42" w:rsidP="00134F1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eastAsia="Times New Roman" w:cstheme="minorHAnsi"/>
                <w:color w:val="212529"/>
                <w:sz w:val="23"/>
                <w:szCs w:val="23"/>
                <w:lang w:eastAsia="hr-HR"/>
              </w:rPr>
              <w:t>U rješavanju problema programiranjem  boduje se samo funkcionalan kod u kojemu je točno riješeno 0 – 39 % zadanih zadataka uz pomoć računala.</w:t>
            </w:r>
          </w:p>
        </w:tc>
      </w:tr>
    </w:tbl>
    <w:p w14:paraId="6C1F31CB" w14:textId="03C625D8" w:rsidR="00895B42" w:rsidRDefault="00895B42"/>
    <w:p w14:paraId="50CF4CA4" w14:textId="370636F6" w:rsidR="00895B42" w:rsidRPr="00895B42" w:rsidRDefault="00895B42" w:rsidP="00134F1C">
      <w:pPr>
        <w:pStyle w:val="Odlomakpopisa"/>
        <w:numPr>
          <w:ilvl w:val="0"/>
          <w:numId w:val="47"/>
        </w:numPr>
        <w:rPr>
          <w:b/>
          <w:bCs/>
        </w:rPr>
      </w:pPr>
      <w:r w:rsidRPr="00895B42">
        <w:rPr>
          <w:b/>
          <w:bCs/>
        </w:rPr>
        <w:t>Digitalni sadržaji i suradnja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49"/>
        <w:gridCol w:w="7507"/>
      </w:tblGrid>
      <w:tr w:rsidR="00895B42" w:rsidRPr="00895B42" w14:paraId="388671C9" w14:textId="77777777" w:rsidTr="00895B42">
        <w:trPr>
          <w:tblHeader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F2E7A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  <w:t>Ocjena</w:t>
            </w:r>
          </w:p>
        </w:tc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6FB5F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  <w:t>Kriterij ocjenjivanja (opisno)</w:t>
            </w:r>
          </w:p>
        </w:tc>
      </w:tr>
      <w:tr w:rsidR="00895B42" w:rsidRPr="00895B42" w14:paraId="7EA53CD7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7F2AE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  <w:t>Odličan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5BBB3" w14:textId="77777777" w:rsidR="00895B42" w:rsidRPr="00895B42" w:rsidRDefault="00895B42" w:rsidP="00134F1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Redovito i kontinuirano sudjeluje u svim fazama nastavnog sata povezujući sadržaje različitih cjelina i postavlja pitanja te daje vlastite primjere. Probleme nastoji riješiti samostalno i kreativno, aktivno traži moguća rješenja.</w:t>
            </w:r>
          </w:p>
          <w:p w14:paraId="5BEEAE99" w14:textId="77777777" w:rsidR="00895B42" w:rsidRPr="00895B42" w:rsidRDefault="00895B42" w:rsidP="00134F1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Tijekom rada stalno daje korisne ideje i aktivno sudjeluje u razgovoru. Ulaže maksimum napora, stalno je usredotočen na zadatak i rok izvršenja. Gotovo uvijek dijeli svoje ideje i podrška je drugima.</w:t>
            </w:r>
          </w:p>
          <w:p w14:paraId="6EAD04FC" w14:textId="77777777" w:rsidR="00895B42" w:rsidRPr="00895B42" w:rsidRDefault="00895B42" w:rsidP="00134F1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Tijekom grupnog rada povezuje ljude u grupi i stvara pozitivno ozračje.</w:t>
            </w:r>
          </w:p>
        </w:tc>
      </w:tr>
      <w:tr w:rsidR="00895B42" w:rsidRPr="00895B42" w14:paraId="5AD87EF7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C09B4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  <w:t>Vrlo dobar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D1322" w14:textId="77777777" w:rsidR="00895B42" w:rsidRPr="00895B42" w:rsidRDefault="00895B42" w:rsidP="00134F1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Redovito i kontinuirano sudjeluje u svim fazama nastavnog sata. Povezuje sadržaje iz raznih cjelina.</w:t>
            </w:r>
          </w:p>
          <w:p w14:paraId="24C3E9E7" w14:textId="77777777" w:rsidR="00895B42" w:rsidRPr="00895B42" w:rsidRDefault="00895B42" w:rsidP="00134F1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Tijekom rada u grupi uglavnom daje korisne ideje i sudjeluje u razgovoru. Preoblikuje rješenja koja su predložili drugi članovi grupe. Uglavnom je usredotočen na zadatak i rok izvršenja. Ostali članovi grupa tijekom rada mogu računati na njega.</w:t>
            </w:r>
          </w:p>
          <w:p w14:paraId="0AF101A3" w14:textId="77777777" w:rsidR="00895B42" w:rsidRPr="00895B42" w:rsidRDefault="00895B42" w:rsidP="00134F1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Većinom aktivno sluša, dijeli ideje i podrška je drugima. Doprinosi pozitivnom ozračju u grupi.</w:t>
            </w:r>
          </w:p>
        </w:tc>
      </w:tr>
      <w:tr w:rsidR="00895B42" w:rsidRPr="00895B42" w14:paraId="222EBF48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B9EC6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  <w:t>Dobar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56F1FE" w14:textId="77777777" w:rsidR="00895B42" w:rsidRPr="00895B42" w:rsidRDefault="00895B42" w:rsidP="00134F1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Povremeno sudjeluje u usvajanju programskih sadržaja, javlja se i odgovara na pitanja.</w:t>
            </w:r>
          </w:p>
          <w:p w14:paraId="5B8E4B81" w14:textId="77777777" w:rsidR="00895B42" w:rsidRPr="00895B42" w:rsidRDefault="00895B42" w:rsidP="00134F1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 xml:space="preserve">Tijekom rada u grupi  ponekad daje korisne ideje i sudjeluje u razgovoru. Član je grupe koji čini ono što se traži. Spreman je iskušati prijedloge drugih članova grupe ne predlaže ni ne </w:t>
            </w: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lastRenderedPageBreak/>
              <w:t>preoblikuje rješenja. Ponekad je usredotočen na zadatak i rok izvršenja. Ostali članovi grupe ga  ponekad tijekom rada moraju podsjećati na izvršenje zadataka.</w:t>
            </w:r>
          </w:p>
          <w:p w14:paraId="7CF37079" w14:textId="77777777" w:rsidR="00895B42" w:rsidRPr="00895B42" w:rsidRDefault="00895B42" w:rsidP="00134F1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Povremeno aktivno sluša, dijeli ideje i pokušava biti podrška drugima.</w:t>
            </w:r>
          </w:p>
        </w:tc>
      </w:tr>
      <w:tr w:rsidR="00895B42" w:rsidRPr="00895B42" w14:paraId="446C6FB0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CE13A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  <w:lastRenderedPageBreak/>
              <w:t>Dovoljan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9777D" w14:textId="77777777" w:rsidR="00895B42" w:rsidRPr="00895B42" w:rsidRDefault="00895B42" w:rsidP="00134F1C">
            <w:pPr>
              <w:numPr>
                <w:ilvl w:val="0"/>
                <w:numId w:val="26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Ponekad sudjeluje u usvajanju nastavnih sadržaja – odgovara samo na prozivku. Nesamostalan i nesustavan u radu. Pravi česte pogreške koje ponekad na poziv pokušava ispraviti.  Površan u radu, kod kuće ne radi dovoljno ili sam ne zna ispravno raditi. Radne navike nisu dovoljno razvijene ili su neispravne. Uz veći i ispravan trud i zalaganje rezultati u radu bi možda bili mnogo bolji.</w:t>
            </w:r>
          </w:p>
          <w:p w14:paraId="6839D558" w14:textId="77777777" w:rsidR="00895B42" w:rsidRPr="00895B42" w:rsidRDefault="00895B42" w:rsidP="00134F1C">
            <w:pPr>
              <w:numPr>
                <w:ilvl w:val="0"/>
                <w:numId w:val="26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Tijekom rada u grupi rijetko daje korisne ideje i sudjeluje  u razgovoru. Često ga drugi članovi trebaju poticati na rad. Spreman je saslušati prijedloge drugih članova grupe, ali ih rijetko iskušava. Rijetko je usredotočen na zadatak i rok izvršenja. Ostali članovi grupe ga često tijekom rada moraju podsjećati na izvršenje zadataka. </w:t>
            </w:r>
          </w:p>
          <w:p w14:paraId="0DBA7022" w14:textId="77777777" w:rsidR="00895B42" w:rsidRPr="00895B42" w:rsidRDefault="00895B42" w:rsidP="00134F1C">
            <w:pPr>
              <w:numPr>
                <w:ilvl w:val="0"/>
                <w:numId w:val="26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Rijetko aktivno sluša i dijeli ideje. Rijetko se trudi biti podrška drugima.</w:t>
            </w:r>
          </w:p>
        </w:tc>
      </w:tr>
      <w:tr w:rsidR="00895B42" w:rsidRPr="00895B42" w14:paraId="0E1BF16E" w14:textId="77777777" w:rsidTr="00895B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59AA4" w14:textId="77777777" w:rsidR="00895B42" w:rsidRPr="00895B42" w:rsidRDefault="00895B42" w:rsidP="00895B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b/>
                <w:bCs/>
                <w:color w:val="212529"/>
                <w:sz w:val="23"/>
                <w:szCs w:val="23"/>
                <w:lang w:eastAsia="hr-HR"/>
              </w:rPr>
              <w:t>Nedovoljan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A480A" w14:textId="77777777" w:rsidR="00895B42" w:rsidRPr="00895B42" w:rsidRDefault="00895B42" w:rsidP="00134F1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Pasivan je i nezainteresiran, nikakve mjere i sugestije ne mogu ga potaknuti na rad. Često je nediscipliniran i ometa rad u razredu. U radu nije uporan, zadovoljava se djelomičnim i nikakvim rezultatima.</w:t>
            </w:r>
          </w:p>
          <w:p w14:paraId="567A85E4" w14:textId="77777777" w:rsidR="00895B42" w:rsidRPr="00895B42" w:rsidRDefault="00895B42" w:rsidP="00134F1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Ne radi vježbe na računalu, a ako i da, česte su  ozbiljne pogreške koje se ne trudi ispraviti. Nema potreban pribor za rad. Ne izvršava radne zadatke, ne surađuje, ne želi govoriti.</w:t>
            </w:r>
          </w:p>
          <w:p w14:paraId="356F6900" w14:textId="77777777" w:rsidR="00895B42" w:rsidRPr="00895B42" w:rsidRDefault="00895B42" w:rsidP="00134F1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</w:pPr>
            <w:r w:rsidRPr="00895B42">
              <w:rPr>
                <w:rFonts w:ascii="Segoe UI" w:eastAsia="Times New Roman" w:hAnsi="Segoe UI" w:cs="Segoe UI"/>
                <w:color w:val="212529"/>
                <w:sz w:val="23"/>
                <w:szCs w:val="23"/>
                <w:lang w:eastAsia="hr-HR"/>
              </w:rPr>
              <w:t>Tijekom rada u grupi rijetko ne daje korisne ideje i ne sudjeluje  u razgovoru. Drugi članovi grupe ga kontinuirano trebaju poticati na rad. Nije spreman saslušati prijedloge drugih članova grupe, niti ih iskušava. Nije usredotočen na zadatak i rok izvršenja. Ostali članovi grupe ga stalno tijekom rada moraju podsjećati na izvršenje zadataka. Ne trudi se biti podrška drugima.</w:t>
            </w:r>
          </w:p>
        </w:tc>
      </w:tr>
    </w:tbl>
    <w:p w14:paraId="69B45C33" w14:textId="77777777" w:rsidR="00895B42" w:rsidRDefault="00895B42"/>
    <w:sectPr w:rsidR="00895B42" w:rsidSect="00895B4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0669"/>
    <w:multiLevelType w:val="multilevel"/>
    <w:tmpl w:val="3AE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4E74"/>
    <w:multiLevelType w:val="multilevel"/>
    <w:tmpl w:val="E094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E3C2E"/>
    <w:multiLevelType w:val="multilevel"/>
    <w:tmpl w:val="DC18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561D9"/>
    <w:multiLevelType w:val="multilevel"/>
    <w:tmpl w:val="085A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F3236"/>
    <w:multiLevelType w:val="multilevel"/>
    <w:tmpl w:val="0BC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97F5C"/>
    <w:multiLevelType w:val="multilevel"/>
    <w:tmpl w:val="6EC2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60B00"/>
    <w:multiLevelType w:val="multilevel"/>
    <w:tmpl w:val="66FC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6075A"/>
    <w:multiLevelType w:val="multilevel"/>
    <w:tmpl w:val="690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D265A"/>
    <w:multiLevelType w:val="multilevel"/>
    <w:tmpl w:val="2F2E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42C71"/>
    <w:multiLevelType w:val="multilevel"/>
    <w:tmpl w:val="316E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85341"/>
    <w:multiLevelType w:val="multilevel"/>
    <w:tmpl w:val="4766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A509B"/>
    <w:multiLevelType w:val="multilevel"/>
    <w:tmpl w:val="32B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FB0540"/>
    <w:multiLevelType w:val="multilevel"/>
    <w:tmpl w:val="2E36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54175"/>
    <w:multiLevelType w:val="multilevel"/>
    <w:tmpl w:val="CF5A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E7549"/>
    <w:multiLevelType w:val="multilevel"/>
    <w:tmpl w:val="83B4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16D43"/>
    <w:multiLevelType w:val="multilevel"/>
    <w:tmpl w:val="003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37AFB"/>
    <w:multiLevelType w:val="multilevel"/>
    <w:tmpl w:val="6BD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80828"/>
    <w:multiLevelType w:val="multilevel"/>
    <w:tmpl w:val="3DA4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E37DA2"/>
    <w:multiLevelType w:val="multilevel"/>
    <w:tmpl w:val="105C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D7611D"/>
    <w:multiLevelType w:val="multilevel"/>
    <w:tmpl w:val="A67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67928"/>
    <w:multiLevelType w:val="multilevel"/>
    <w:tmpl w:val="7F56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490275"/>
    <w:multiLevelType w:val="multilevel"/>
    <w:tmpl w:val="E18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A22321"/>
    <w:multiLevelType w:val="multilevel"/>
    <w:tmpl w:val="C29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AC3DD1"/>
    <w:multiLevelType w:val="multilevel"/>
    <w:tmpl w:val="78F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1C1C11"/>
    <w:multiLevelType w:val="multilevel"/>
    <w:tmpl w:val="C2E0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9349FB"/>
    <w:multiLevelType w:val="multilevel"/>
    <w:tmpl w:val="B156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223E1E"/>
    <w:multiLevelType w:val="multilevel"/>
    <w:tmpl w:val="A10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965FF6"/>
    <w:multiLevelType w:val="multilevel"/>
    <w:tmpl w:val="7C1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E26635"/>
    <w:multiLevelType w:val="multilevel"/>
    <w:tmpl w:val="B236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F97CBE"/>
    <w:multiLevelType w:val="multilevel"/>
    <w:tmpl w:val="D5A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DA0742"/>
    <w:multiLevelType w:val="multilevel"/>
    <w:tmpl w:val="3BA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DC7232"/>
    <w:multiLevelType w:val="multilevel"/>
    <w:tmpl w:val="967A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797CAE"/>
    <w:multiLevelType w:val="multilevel"/>
    <w:tmpl w:val="F4C0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D50966"/>
    <w:multiLevelType w:val="multilevel"/>
    <w:tmpl w:val="88E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4125D8"/>
    <w:multiLevelType w:val="hybridMultilevel"/>
    <w:tmpl w:val="30DCC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C0DE2"/>
    <w:multiLevelType w:val="multilevel"/>
    <w:tmpl w:val="880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3469EA"/>
    <w:multiLevelType w:val="multilevel"/>
    <w:tmpl w:val="F252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871C8F"/>
    <w:multiLevelType w:val="multilevel"/>
    <w:tmpl w:val="884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245769"/>
    <w:multiLevelType w:val="multilevel"/>
    <w:tmpl w:val="50F4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391916"/>
    <w:multiLevelType w:val="multilevel"/>
    <w:tmpl w:val="47A6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2A01D6"/>
    <w:multiLevelType w:val="multilevel"/>
    <w:tmpl w:val="2D34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BD61D2"/>
    <w:multiLevelType w:val="multilevel"/>
    <w:tmpl w:val="22D4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AC0ABA"/>
    <w:multiLevelType w:val="multilevel"/>
    <w:tmpl w:val="7F5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A17C4"/>
    <w:multiLevelType w:val="multilevel"/>
    <w:tmpl w:val="FDA2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7E4AC4"/>
    <w:multiLevelType w:val="multilevel"/>
    <w:tmpl w:val="2A26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533BA1"/>
    <w:multiLevelType w:val="multilevel"/>
    <w:tmpl w:val="A47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867252"/>
    <w:multiLevelType w:val="multilevel"/>
    <w:tmpl w:val="1586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26"/>
  </w:num>
  <w:num w:numId="4">
    <w:abstractNumId w:val="17"/>
  </w:num>
  <w:num w:numId="5">
    <w:abstractNumId w:val="46"/>
  </w:num>
  <w:num w:numId="6">
    <w:abstractNumId w:val="32"/>
  </w:num>
  <w:num w:numId="7">
    <w:abstractNumId w:val="16"/>
  </w:num>
  <w:num w:numId="8">
    <w:abstractNumId w:val="12"/>
  </w:num>
  <w:num w:numId="9">
    <w:abstractNumId w:val="39"/>
  </w:num>
  <w:num w:numId="10">
    <w:abstractNumId w:val="38"/>
  </w:num>
  <w:num w:numId="11">
    <w:abstractNumId w:val="36"/>
  </w:num>
  <w:num w:numId="12">
    <w:abstractNumId w:val="11"/>
  </w:num>
  <w:num w:numId="13">
    <w:abstractNumId w:val="23"/>
  </w:num>
  <w:num w:numId="14">
    <w:abstractNumId w:val="1"/>
  </w:num>
  <w:num w:numId="15">
    <w:abstractNumId w:val="7"/>
  </w:num>
  <w:num w:numId="16">
    <w:abstractNumId w:val="20"/>
  </w:num>
  <w:num w:numId="17">
    <w:abstractNumId w:val="19"/>
  </w:num>
  <w:num w:numId="18">
    <w:abstractNumId w:val="2"/>
  </w:num>
  <w:num w:numId="19">
    <w:abstractNumId w:val="35"/>
  </w:num>
  <w:num w:numId="20">
    <w:abstractNumId w:val="28"/>
  </w:num>
  <w:num w:numId="21">
    <w:abstractNumId w:val="15"/>
  </w:num>
  <w:num w:numId="22">
    <w:abstractNumId w:val="0"/>
  </w:num>
  <w:num w:numId="23">
    <w:abstractNumId w:val="13"/>
  </w:num>
  <w:num w:numId="24">
    <w:abstractNumId w:val="14"/>
  </w:num>
  <w:num w:numId="25">
    <w:abstractNumId w:val="42"/>
  </w:num>
  <w:num w:numId="26">
    <w:abstractNumId w:val="24"/>
  </w:num>
  <w:num w:numId="27">
    <w:abstractNumId w:val="45"/>
  </w:num>
  <w:num w:numId="28">
    <w:abstractNumId w:val="22"/>
  </w:num>
  <w:num w:numId="29">
    <w:abstractNumId w:val="37"/>
  </w:num>
  <w:num w:numId="30">
    <w:abstractNumId w:val="10"/>
  </w:num>
  <w:num w:numId="31">
    <w:abstractNumId w:val="6"/>
  </w:num>
  <w:num w:numId="32">
    <w:abstractNumId w:val="9"/>
  </w:num>
  <w:num w:numId="33">
    <w:abstractNumId w:val="21"/>
  </w:num>
  <w:num w:numId="34">
    <w:abstractNumId w:val="5"/>
  </w:num>
  <w:num w:numId="35">
    <w:abstractNumId w:val="8"/>
  </w:num>
  <w:num w:numId="36">
    <w:abstractNumId w:val="43"/>
  </w:num>
  <w:num w:numId="37">
    <w:abstractNumId w:val="30"/>
  </w:num>
  <w:num w:numId="38">
    <w:abstractNumId w:val="33"/>
  </w:num>
  <w:num w:numId="39">
    <w:abstractNumId w:val="27"/>
  </w:num>
  <w:num w:numId="40">
    <w:abstractNumId w:val="41"/>
  </w:num>
  <w:num w:numId="41">
    <w:abstractNumId w:val="18"/>
  </w:num>
  <w:num w:numId="42">
    <w:abstractNumId w:val="3"/>
  </w:num>
  <w:num w:numId="43">
    <w:abstractNumId w:val="44"/>
  </w:num>
  <w:num w:numId="44">
    <w:abstractNumId w:val="29"/>
  </w:num>
  <w:num w:numId="45">
    <w:abstractNumId w:val="31"/>
  </w:num>
  <w:num w:numId="46">
    <w:abstractNumId w:val="40"/>
  </w:num>
  <w:num w:numId="47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42"/>
    <w:rsid w:val="000F575A"/>
    <w:rsid w:val="00134F1C"/>
    <w:rsid w:val="0041794F"/>
    <w:rsid w:val="00895B42"/>
    <w:rsid w:val="00AC37B9"/>
    <w:rsid w:val="00C16EF4"/>
    <w:rsid w:val="00F8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67BF"/>
  <w15:chartTrackingRefBased/>
  <w15:docId w15:val="{6D283640-24A9-486B-B256-9EAC80A5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9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6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30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Korisnik</cp:lastModifiedBy>
  <cp:revision>4</cp:revision>
  <dcterms:created xsi:type="dcterms:W3CDTF">2022-10-03T19:22:00Z</dcterms:created>
  <dcterms:modified xsi:type="dcterms:W3CDTF">2024-09-15T20:12:00Z</dcterms:modified>
</cp:coreProperties>
</file>